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8233F" w:rsidRDefault="006F7E1A" w:rsidP="006F7E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F7E1A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algebriska izteiksme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proporcija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proporcijas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pamatīpašība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līdzīgi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saskaitāmie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identitāte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identiski vienādas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izteiksmes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vienādojums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vienādojuma sakne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7E1A">
        <w:rPr>
          <w:rFonts w:eastAsia="MyriadPro-BoldIt"/>
          <w:b/>
          <w:bCs/>
          <w:i/>
          <w:iCs/>
          <w:sz w:val="28"/>
          <w:szCs w:val="28"/>
          <w:lang w:eastAsia="en-US"/>
        </w:rPr>
        <w:t>ekvivalenti vienādojumi</w:t>
      </w:r>
      <w:r w:rsidRPr="006F7E1A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6F7E1A" w:rsidRPr="006F7E1A" w:rsidRDefault="006F7E1A" w:rsidP="006F7E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07020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Default="00F10FFE" w:rsidP="00507020">
      <w:pPr>
        <w:rPr>
          <w:i/>
          <w:sz w:val="28"/>
          <w:szCs w:val="28"/>
        </w:rPr>
      </w:pPr>
    </w:p>
    <w:p w:rsidR="00A70D32" w:rsidRPr="001F43A5" w:rsidRDefault="001F43A5" w:rsidP="001F43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1F43A5">
        <w:rPr>
          <w:rFonts w:eastAsia="MyriadPro-Regular"/>
          <w:sz w:val="28"/>
          <w:szCs w:val="28"/>
          <w:lang w:eastAsia="en-US"/>
        </w:rPr>
        <w:t>1.4. Uzraksti divus dažādus vienā</w:t>
      </w:r>
      <w:r>
        <w:rPr>
          <w:rFonts w:eastAsia="MyriadPro-Regular"/>
          <w:sz w:val="28"/>
          <w:szCs w:val="28"/>
          <w:lang w:eastAsia="en-US"/>
        </w:rPr>
        <w:t xml:space="preserve">dojumus, kuru sakne  </w:t>
      </w:r>
      <w:r w:rsidRPr="001F43A5">
        <w:rPr>
          <w:rFonts w:eastAsia="MyriadPro-Regular"/>
          <w:sz w:val="28"/>
          <w:szCs w:val="28"/>
          <w:lang w:eastAsia="en-US"/>
        </w:rPr>
        <w:t>ir 5!</w:t>
      </w:r>
    </w:p>
    <w:sectPr w:rsidR="00A70D32" w:rsidRPr="001F43A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1F43A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3A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1F43A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F43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81B2F"/>
    <w:rsid w:val="007A0627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EFA0-82B0-4603-B5C8-65FC1B4A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2011-06-16T12:36:00Z</dcterms:created>
  <dcterms:modified xsi:type="dcterms:W3CDTF">2011-06-16T12:36:00Z</dcterms:modified>
</cp:coreProperties>
</file>