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E5522D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PITAGORA TEORĒMA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B3184" w:rsidRPr="00F33619" w:rsidRDefault="00F33619" w:rsidP="00F3361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33619">
        <w:rPr>
          <w:rFonts w:eastAsiaTheme="minorHAnsi"/>
          <w:b/>
          <w:bCs/>
          <w:sz w:val="28"/>
          <w:szCs w:val="28"/>
          <w:lang w:eastAsia="en-US"/>
        </w:rPr>
        <w:t>4. Lieto figū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</w:t>
      </w:r>
      <w:r w:rsidRPr="00F33619">
        <w:rPr>
          <w:rFonts w:eastAsiaTheme="minorHAnsi"/>
          <w:b/>
          <w:bCs/>
          <w:sz w:val="28"/>
          <w:szCs w:val="28"/>
          <w:lang w:eastAsia="en-US"/>
        </w:rPr>
        <w:t>laukumu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bas, skaidrojot </w:t>
      </w:r>
      <w:r w:rsidRPr="00F33619">
        <w:rPr>
          <w:rFonts w:eastAsiaTheme="minorHAnsi"/>
          <w:b/>
          <w:bCs/>
          <w:sz w:val="28"/>
          <w:szCs w:val="28"/>
          <w:lang w:eastAsia="en-US"/>
        </w:rPr>
        <w:t>Pitagora teorē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mas </w:t>
      </w:r>
      <w:r w:rsidRPr="00F33619">
        <w:rPr>
          <w:rFonts w:eastAsiaTheme="minorHAnsi"/>
          <w:b/>
          <w:bCs/>
          <w:sz w:val="28"/>
          <w:szCs w:val="28"/>
          <w:lang w:eastAsia="en-US"/>
        </w:rPr>
        <w:t>pierādījumus.</w:t>
      </w:r>
    </w:p>
    <w:p w:rsidR="00F33619" w:rsidRPr="00DE1EA5" w:rsidRDefault="00F33619" w:rsidP="00F33619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3F304C" w:rsidRDefault="00E07BD8" w:rsidP="00633C3B">
      <w:pPr>
        <w:rPr>
          <w:i/>
          <w:sz w:val="28"/>
          <w:szCs w:val="28"/>
        </w:rPr>
      </w:pPr>
    </w:p>
    <w:p w:rsidR="00B801BA" w:rsidRPr="00B801BA" w:rsidRDefault="00B801BA" w:rsidP="00B801B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801BA">
        <w:rPr>
          <w:rFonts w:eastAsia="MyriadPro-Regular"/>
          <w:sz w:val="28"/>
          <w:szCs w:val="28"/>
          <w:lang w:eastAsia="en-US"/>
        </w:rPr>
        <w:t>4.2. Izlasi doto tekstu un paskaidro, kā</w:t>
      </w:r>
      <w:r>
        <w:rPr>
          <w:rFonts w:eastAsia="MyriadPro-Regular"/>
          <w:sz w:val="28"/>
          <w:szCs w:val="28"/>
          <w:lang w:eastAsia="en-US"/>
        </w:rPr>
        <w:t xml:space="preserve">da </w:t>
      </w:r>
      <w:r w:rsidRPr="00B801BA">
        <w:rPr>
          <w:rFonts w:eastAsia="MyriadPro-Regular"/>
          <w:sz w:val="28"/>
          <w:szCs w:val="28"/>
          <w:lang w:eastAsia="en-US"/>
        </w:rPr>
        <w:t>saistība dotajai informācijai ir ar</w:t>
      </w:r>
    </w:p>
    <w:p w:rsidR="00B801BA" w:rsidRPr="00B801BA" w:rsidRDefault="00B801BA" w:rsidP="00B801BA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B801BA">
        <w:rPr>
          <w:rFonts w:eastAsia="MyriadPro-Regular"/>
          <w:sz w:val="28"/>
          <w:szCs w:val="28"/>
          <w:lang w:eastAsia="en-US"/>
        </w:rPr>
        <w:t>Pitagora teorēmu!</w:t>
      </w:r>
    </w:p>
    <w:p w:rsidR="00F33619" w:rsidRDefault="00B801BA" w:rsidP="00B801BA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B801BA">
        <w:rPr>
          <w:rFonts w:eastAsia="MyriadPro-Regular"/>
          <w:sz w:val="28"/>
          <w:szCs w:val="28"/>
          <w:lang w:eastAsia="en-US"/>
        </w:rPr>
        <w:t>Dots taisnleņķa trijstū</w:t>
      </w:r>
      <w:r>
        <w:rPr>
          <w:rFonts w:eastAsia="MyriadPro-Regular"/>
          <w:sz w:val="28"/>
          <w:szCs w:val="28"/>
          <w:lang w:eastAsia="en-US"/>
        </w:rPr>
        <w:t xml:space="preserve">ris ar malu </w:t>
      </w:r>
      <w:r w:rsidRPr="00B801BA">
        <w:rPr>
          <w:rFonts w:eastAsia="MyriadPro-Regular"/>
          <w:sz w:val="28"/>
          <w:szCs w:val="28"/>
          <w:lang w:eastAsia="en-US"/>
        </w:rPr>
        <w:t>garumiem 3, 4 un 5. Uz trijstū</w:t>
      </w:r>
      <w:r>
        <w:rPr>
          <w:rFonts w:eastAsia="MyriadPro-Regular"/>
          <w:sz w:val="28"/>
          <w:szCs w:val="28"/>
          <w:lang w:eastAsia="en-US"/>
        </w:rPr>
        <w:t xml:space="preserve">ru </w:t>
      </w:r>
      <w:r w:rsidRPr="00B801BA">
        <w:rPr>
          <w:rFonts w:eastAsia="MyriadPro-Regular"/>
          <w:sz w:val="28"/>
          <w:szCs w:val="28"/>
          <w:lang w:eastAsia="en-US"/>
        </w:rPr>
        <w:t>malām uzkonstruēti kvadrā</w:t>
      </w:r>
      <w:r>
        <w:rPr>
          <w:rFonts w:eastAsia="MyriadPro-Regular"/>
          <w:sz w:val="28"/>
          <w:szCs w:val="28"/>
          <w:lang w:eastAsia="en-US"/>
        </w:rPr>
        <w:t xml:space="preserve">ti, kas </w:t>
      </w:r>
      <w:r w:rsidRPr="00B801BA">
        <w:rPr>
          <w:rFonts w:eastAsia="MyriadPro-Regular"/>
          <w:sz w:val="28"/>
          <w:szCs w:val="28"/>
          <w:lang w:eastAsia="en-US"/>
        </w:rPr>
        <w:t>sadalīti vienādos kvadrātiņ</w:t>
      </w:r>
      <w:r>
        <w:rPr>
          <w:rFonts w:eastAsia="MyriadPro-Regular"/>
          <w:sz w:val="28"/>
          <w:szCs w:val="28"/>
          <w:lang w:eastAsia="en-US"/>
        </w:rPr>
        <w:t xml:space="preserve">os ar malas </w:t>
      </w:r>
      <w:r w:rsidRPr="00B801BA">
        <w:rPr>
          <w:rFonts w:eastAsia="MyriadPro-Regular"/>
          <w:sz w:val="28"/>
          <w:szCs w:val="28"/>
          <w:lang w:eastAsia="en-US"/>
        </w:rPr>
        <w:t>garumu 1.</w:t>
      </w:r>
    </w:p>
    <w:p w:rsidR="00B801BA" w:rsidRPr="00B801BA" w:rsidRDefault="00B801BA" w:rsidP="00B801BA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005634" cy="2209800"/>
            <wp:effectExtent l="19050" t="0" r="0" b="0"/>
            <wp:docPr id="58" name="Attēls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634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01BA" w:rsidRPr="00B801BA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801B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801BA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801B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801B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6ED2"/>
    <w:multiLevelType w:val="hybridMultilevel"/>
    <w:tmpl w:val="F2400C28"/>
    <w:lvl w:ilvl="0" w:tplc="B636D3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1F95"/>
    <w:rsid w:val="000574AE"/>
    <w:rsid w:val="000758C0"/>
    <w:rsid w:val="000A1AB4"/>
    <w:rsid w:val="000A4E78"/>
    <w:rsid w:val="000B1992"/>
    <w:rsid w:val="000C7069"/>
    <w:rsid w:val="000E095A"/>
    <w:rsid w:val="000F36B5"/>
    <w:rsid w:val="00103DFD"/>
    <w:rsid w:val="00113D17"/>
    <w:rsid w:val="0011477C"/>
    <w:rsid w:val="00117F8E"/>
    <w:rsid w:val="00123BD0"/>
    <w:rsid w:val="00141914"/>
    <w:rsid w:val="00143C82"/>
    <w:rsid w:val="00145382"/>
    <w:rsid w:val="00160838"/>
    <w:rsid w:val="001615AA"/>
    <w:rsid w:val="001620B8"/>
    <w:rsid w:val="00163341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C464E"/>
    <w:rsid w:val="002C4E13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0052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46E6F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40096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2CD1"/>
    <w:rsid w:val="007E72A4"/>
    <w:rsid w:val="007F5DBB"/>
    <w:rsid w:val="00801C4E"/>
    <w:rsid w:val="008160A9"/>
    <w:rsid w:val="00826F12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582D"/>
    <w:rsid w:val="009628EE"/>
    <w:rsid w:val="00965BA0"/>
    <w:rsid w:val="009665A5"/>
    <w:rsid w:val="00976BFB"/>
    <w:rsid w:val="009A096B"/>
    <w:rsid w:val="009A64C5"/>
    <w:rsid w:val="009B1D12"/>
    <w:rsid w:val="009C2CBE"/>
    <w:rsid w:val="009D4906"/>
    <w:rsid w:val="009D7E68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A36A3"/>
    <w:rsid w:val="00AD2862"/>
    <w:rsid w:val="00AE6586"/>
    <w:rsid w:val="00AF3141"/>
    <w:rsid w:val="00AF784E"/>
    <w:rsid w:val="00B1033E"/>
    <w:rsid w:val="00B2325D"/>
    <w:rsid w:val="00B26F25"/>
    <w:rsid w:val="00B33D0A"/>
    <w:rsid w:val="00B36912"/>
    <w:rsid w:val="00B67412"/>
    <w:rsid w:val="00B71D05"/>
    <w:rsid w:val="00B801BA"/>
    <w:rsid w:val="00B82A86"/>
    <w:rsid w:val="00B86D91"/>
    <w:rsid w:val="00B87AE0"/>
    <w:rsid w:val="00B92776"/>
    <w:rsid w:val="00B964CE"/>
    <w:rsid w:val="00B969DC"/>
    <w:rsid w:val="00BB0418"/>
    <w:rsid w:val="00BB0432"/>
    <w:rsid w:val="00BB3184"/>
    <w:rsid w:val="00BB6589"/>
    <w:rsid w:val="00BC2DC3"/>
    <w:rsid w:val="00BD13E7"/>
    <w:rsid w:val="00BD7C61"/>
    <w:rsid w:val="00BE1AFF"/>
    <w:rsid w:val="00BE21C8"/>
    <w:rsid w:val="00BF1A32"/>
    <w:rsid w:val="00BF5FA4"/>
    <w:rsid w:val="00BF7980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3E1D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5522D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3619"/>
    <w:rsid w:val="00F343F5"/>
    <w:rsid w:val="00F41953"/>
    <w:rsid w:val="00F426EC"/>
    <w:rsid w:val="00F506FE"/>
    <w:rsid w:val="00F53FA9"/>
    <w:rsid w:val="00F579B3"/>
    <w:rsid w:val="00F64755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2011-07-14T18:46:00Z</dcterms:created>
  <dcterms:modified xsi:type="dcterms:W3CDTF">2011-07-14T18:46:00Z</dcterms:modified>
</cp:coreProperties>
</file>